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E9" w:rsidRPr="00DB25E9" w:rsidRDefault="00DB25E9" w:rsidP="00DB25E9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r w:rsidRPr="00DB25E9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Rehberlik Araştırma Merkezine Gönderme Süreci</w:t>
      </w:r>
    </w:p>
    <w:p w:rsidR="00DB25E9" w:rsidRPr="00DB25E9" w:rsidRDefault="00DB25E9" w:rsidP="00DB25E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noProof/>
          <w:color w:val="337AB7"/>
          <w:sz w:val="21"/>
          <w:szCs w:val="21"/>
          <w:lang w:eastAsia="tr-TR"/>
        </w:rPr>
        <w:drawing>
          <wp:inline distT="0" distB="0" distL="0" distR="0" wp14:anchorId="2DF5C1B8" wp14:editId="48157261">
            <wp:extent cx="4114800" cy="2571750"/>
            <wp:effectExtent l="0" t="0" r="0" b="0"/>
            <wp:docPr id="1" name="Resim 1" descr="Rehberlik Araştırma Merkezine Gönderme Süreci">
              <a:hlinkClick xmlns:a="http://schemas.openxmlformats.org/drawingml/2006/main" r:id="rId6" tooltip="&quot;Rehberlik Araştırma Merkezine Gönderme Sürec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hberlik Araştırma Merkezine Gönderme Süreci">
                      <a:hlinkClick r:id="rId6" tooltip="&quot;Rehberlik Araştırma Merkezine Gönderme Sürec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25E9" w:rsidRPr="00DB25E9" w:rsidRDefault="00DB25E9" w:rsidP="00DB25E9">
      <w:pPr>
        <w:shd w:val="clear" w:color="auto" w:fill="FFFFFF"/>
        <w:spacing w:line="330" w:lineRule="atLeast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    Bu kısımda bireyin Rehberlik Araştırma Merkezine nasıl gönderileceği adım adım tanımlanmıştır.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      OKUL SÜRECİ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p w:rsidR="00DB25E9" w:rsidRPr="00DB25E9" w:rsidRDefault="00DB25E9" w:rsidP="00DB25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495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 Farkına varma (Öğretmenin bilgi toplaması, ilk değerlendirmeyi yapması)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DB25E9" w:rsidRPr="00DB25E9" w:rsidRDefault="00DB25E9" w:rsidP="00DB25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495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 Okul yönetimi, rehber öğretmen, öğretmen, anne-baba ve öğrencinin sorunu değerlendirmeleri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DB25E9" w:rsidRPr="00DB25E9" w:rsidRDefault="00DB25E9" w:rsidP="00DB25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495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 Uygulanmakta olan eğitim programına devam edilmesi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DB25E9" w:rsidRPr="00DB25E9" w:rsidRDefault="00DB25E9" w:rsidP="00DB25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495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 Program uygulanırken düzenlemeler yapılarak öğrencinin kaydettiği ilerlemelerin izlenmesi ve incelenmesi  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DB25E9" w:rsidRPr="00DB25E9" w:rsidRDefault="00DB25E9" w:rsidP="00DB25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495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 Özel yardım ve destek sağlanması  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lastRenderedPageBreak/>
        <w:t> 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    </w:t>
      </w:r>
      <w:r w:rsidRPr="00DB25E9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REHBERLİK VE ARAŞTIRMA MERKEZİNE GÖNDERME SÜRECİ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       Sağlanan her türlü yardım ve destek hizmetlerine karşın </w:t>
      </w:r>
      <w:proofErr w:type="spellStart"/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öğrencininverilen</w:t>
      </w:r>
      <w:proofErr w:type="spellEnd"/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eğitim  hizmetleri ve uygulanan eğitim programından yararlanamaması durumunda, yapılan tüm çalışmalar ve verilen destek hizmetleri </w:t>
      </w:r>
      <w:proofErr w:type="spellStart"/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raporlaştırılarak</w:t>
      </w:r>
      <w:proofErr w:type="spellEnd"/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, eğitim gereksinimlerinin belirlenmesi amacıyla öğrencinin Gönderme Öncesi Bilgi </w:t>
      </w:r>
      <w:proofErr w:type="spellStart"/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Formu´nu</w:t>
      </w:r>
      <w:proofErr w:type="spellEnd"/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</w:t>
      </w:r>
      <w:proofErr w:type="spellStart"/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Ram’a</w:t>
      </w:r>
      <w:proofErr w:type="spellEnd"/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gönderme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DB25E9" w:rsidRPr="00DB25E9" w:rsidRDefault="00DB25E9" w:rsidP="00DB25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495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    RAM’dan öğrenci için randevu alınması  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DB25E9" w:rsidRPr="00DB25E9" w:rsidRDefault="00DB25E9" w:rsidP="00DB25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ind w:left="495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    Öğrenci velisinden inceleme ve yerleştirme izninin alınması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DB25E9" w:rsidRPr="00DB25E9" w:rsidRDefault="00DB25E9" w:rsidP="00DB25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ind w:left="495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    Veli görüşme formunun doldurulması, gönderme öncesi bilgi formunun ve (varsa) tıbbı tanılama ile ilgili raporun incelenmesi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DB25E9" w:rsidRPr="00DB25E9" w:rsidRDefault="00DB25E9" w:rsidP="00DB25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0" w:lineRule="atLeast"/>
        <w:ind w:left="495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   Öğrencinin Oyun ve gözlem odasında gözlemlenmesi ve uygun olduğunda teste alınması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      </w:t>
      </w:r>
      <w:r w:rsidRPr="00DB25E9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OKULDA (SINIFTA) AKRANLARINDAN FARKLILIK GÖSTEREN ÖĞRENCİNİN FARKINA VARMA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p w:rsidR="00DB25E9" w:rsidRPr="00DB25E9" w:rsidRDefault="00DB25E9" w:rsidP="00DB25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495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        Okul yönetimi, rehber öğretmen, öğretmen, anne-baba ve öğrencinin soruna okul </w:t>
      </w:r>
      <w:proofErr w:type="spellStart"/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içersinde</w:t>
      </w:r>
      <w:proofErr w:type="spellEnd"/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ve evde çözüm arama ve sonuçları değerlendirmeleri   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DB25E9" w:rsidRPr="00DB25E9" w:rsidRDefault="00DB25E9" w:rsidP="00DB25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ind w:left="495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      Soruna yönelik çalışmalar yetersiz kaldığında Gönderme Öncesi Bilgi Formunun doldurulması ve RAM’a gönderilmesi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DB25E9" w:rsidRPr="00DB25E9" w:rsidRDefault="00DB25E9" w:rsidP="00DB25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0" w:lineRule="atLeast"/>
        <w:ind w:left="495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     Öğrenci velisinden inceleme ve yerleştirme izninin alınması    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lastRenderedPageBreak/>
        <w:t> </w:t>
      </w:r>
    </w:p>
    <w:p w:rsidR="00DB25E9" w:rsidRPr="00DB25E9" w:rsidRDefault="00DB25E9" w:rsidP="00DB25E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0" w:lineRule="atLeast"/>
        <w:ind w:left="495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     Veli görüşme formunun doldurulması ve (varsa) tıbbı tanılama ile ilgili raporun incelenmesi.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DB25E9" w:rsidRPr="00DB25E9" w:rsidRDefault="00DB25E9" w:rsidP="00DB25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0" w:lineRule="atLeast"/>
        <w:ind w:left="495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     Öğrencinin Oyun ve gözlem odasında gözlemlenmesi ve uygun olduğunda teste alınması   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DB25E9" w:rsidRPr="00DB25E9" w:rsidRDefault="00DB25E9" w:rsidP="00DB25E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0" w:lineRule="atLeast"/>
        <w:ind w:left="495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     Özel Eğitim Değerlendirme Kurulu tarafından öğrenci için Değerlendirme raporu düzenlenmesi    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DB25E9" w:rsidRPr="00DB25E9" w:rsidRDefault="00DB25E9" w:rsidP="00DB25E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0" w:lineRule="atLeast"/>
        <w:ind w:left="495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     Değerlendirme Raporunun (sonuç Kaynaştırma Eğitimiyse) İL ÖZEL EĞİTİM HİZMETLERİ KURULU ‘</w:t>
      </w:r>
      <w:proofErr w:type="spellStart"/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na</w:t>
      </w:r>
      <w:proofErr w:type="spellEnd"/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gönderilmesi 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DB25E9" w:rsidRPr="00DB25E9" w:rsidRDefault="00DB25E9" w:rsidP="00DB25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30" w:lineRule="atLeast"/>
        <w:ind w:left="495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    İL ÖZEL EĞİTİM HİZMETLERİ KURULU ‘</w:t>
      </w:r>
      <w:proofErr w:type="spellStart"/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nun</w:t>
      </w:r>
      <w:proofErr w:type="spellEnd"/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Değerlendirme Raporunu  okullara göndermesi 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DB25E9" w:rsidRPr="00DB25E9" w:rsidRDefault="00DB25E9" w:rsidP="00DB25E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0" w:lineRule="atLeast"/>
        <w:ind w:left="495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    Değerlendirme Raporu ve Eğitim Planı  doğrultusunda BEP Geliştirme biriminin oluşturulması ve BEP uygulamalarının başlaması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      </w:t>
      </w:r>
    </w:p>
    <w:p w:rsidR="00DB25E9" w:rsidRPr="00DB25E9" w:rsidRDefault="00DB25E9" w:rsidP="00DB25E9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olor w:val="7B868F"/>
          <w:sz w:val="36"/>
          <w:szCs w:val="36"/>
          <w:lang w:eastAsia="tr-TR"/>
        </w:rPr>
      </w:pPr>
      <w:r w:rsidRPr="00DB25E9">
        <w:rPr>
          <w:rFonts w:ascii="inherit" w:eastAsia="Times New Roman" w:hAnsi="inherit" w:cs="Arial"/>
          <w:color w:val="7B868F"/>
          <w:sz w:val="36"/>
          <w:szCs w:val="36"/>
          <w:lang w:eastAsia="tr-TR"/>
        </w:rPr>
        <w:t>      Velilerin Getirmesi Gereken Evraklar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     Eğitsel tanılama (test ve inceleme) için merkezimize gelecek öğrencilerin velilerinin getirmeleri gereken evraklar:  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 </w:t>
      </w:r>
      <w:r w:rsidRPr="00DB25E9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HERHANGİ BİR OKULA DEVAM EDİYORSA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lastRenderedPageBreak/>
        <w:t> </w:t>
      </w: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      1-ÜST YAZI (halen devam ettiği okul tarafından gönderilecek)          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     2-Eğitsel Değerlendirme İsteği Formu (Sınıf öğretmeni ve okul rehber öğretmeni tarafından doldurulacak)    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     3- TC Kimlik Numaralı Nüfus Cüzdanı Fotokopisi          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     4- 4 Adet Vesikalık Fotoğraf  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 </w:t>
      </w:r>
      <w:r w:rsidRPr="00DB25E9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HERHANGİ BİR OKULA DEVAM ETMİYORSA (Okul dışı)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br/>
      </w: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       1- TC Kimlik Numaralı Nüfus </w:t>
      </w:r>
      <w:proofErr w:type="spellStart"/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Cücdanı</w:t>
      </w:r>
      <w:proofErr w:type="spellEnd"/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Fotokopisi        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     2- 4 Adet Vesikalık Fotoğraf        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    Üstte yazan belgelerin haricinde öğrenci herhangi bir rehabilitasyon  merkezine devam ediyorsa "BİREYSEL GELİŞİM RAPORU" (gittiği rehabilitasyon merkezi tarafından doldurulacak)  getirilecektir</w:t>
      </w:r>
      <w:proofErr w:type="gramStart"/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..</w:t>
      </w:r>
      <w:proofErr w:type="gramEnd"/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 </w:t>
      </w:r>
    </w:p>
    <w:p w:rsidR="00DB25E9" w:rsidRPr="00DB25E9" w:rsidRDefault="00DB25E9" w:rsidP="00DB25E9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olor w:val="7B868F"/>
          <w:sz w:val="36"/>
          <w:szCs w:val="36"/>
          <w:lang w:eastAsia="tr-TR"/>
        </w:rPr>
      </w:pPr>
      <w:r w:rsidRPr="00DB25E9">
        <w:rPr>
          <w:rFonts w:ascii="inherit" w:eastAsia="Times New Roman" w:hAnsi="inherit" w:cs="Arial"/>
          <w:color w:val="7B868F"/>
          <w:sz w:val="36"/>
          <w:szCs w:val="36"/>
          <w:lang w:eastAsia="tr-TR"/>
        </w:rPr>
        <w:t>      Eğitsel Değerlendirme İsteği Formları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   </w:t>
      </w:r>
      <w:hyperlink r:id="rId8" w:history="1">
        <w:r w:rsidRPr="00DB25E9">
          <w:rPr>
            <w:rFonts w:ascii="Arial" w:eastAsia="Times New Roman" w:hAnsi="Arial" w:cs="Arial"/>
            <w:color w:val="337AB7"/>
            <w:sz w:val="21"/>
            <w:szCs w:val="21"/>
            <w:lang w:eastAsia="tr-TR"/>
          </w:rPr>
          <w:t>Eğitsel Değerlendirme İsteği Formu ( Okulöncesi )</w:t>
        </w:r>
      </w:hyperlink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   </w:t>
      </w:r>
      <w:hyperlink r:id="rId9" w:history="1">
        <w:r w:rsidRPr="00DB25E9">
          <w:rPr>
            <w:rFonts w:ascii="Arial" w:eastAsia="Times New Roman" w:hAnsi="Arial" w:cs="Arial"/>
            <w:color w:val="337AB7"/>
            <w:sz w:val="21"/>
            <w:szCs w:val="21"/>
            <w:lang w:eastAsia="tr-TR"/>
          </w:rPr>
          <w:t>Eğitsel Değerlendirme İsteği Formu ( İlköğretim )</w:t>
        </w:r>
      </w:hyperlink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 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  </w:t>
      </w:r>
      <w:hyperlink r:id="rId10" w:history="1">
        <w:r w:rsidRPr="00DB25E9">
          <w:rPr>
            <w:rFonts w:ascii="Arial" w:eastAsia="Times New Roman" w:hAnsi="Arial" w:cs="Arial"/>
            <w:color w:val="23527C"/>
            <w:sz w:val="21"/>
            <w:szCs w:val="21"/>
            <w:u w:val="single"/>
            <w:lang w:eastAsia="tr-TR"/>
          </w:rPr>
          <w:t> Eğitsel Değerlendirme İsteği Formu ( Ortaöğretim )</w:t>
        </w:r>
      </w:hyperlink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   </w:t>
      </w:r>
      <w:hyperlink r:id="rId11" w:history="1">
        <w:r w:rsidRPr="00DB25E9">
          <w:rPr>
            <w:rFonts w:ascii="Arial" w:eastAsia="Times New Roman" w:hAnsi="Arial" w:cs="Arial"/>
            <w:color w:val="337AB7"/>
            <w:sz w:val="21"/>
            <w:szCs w:val="21"/>
            <w:lang w:eastAsia="tr-TR"/>
          </w:rPr>
          <w:t>Bireysel Gelişim Raporu</w:t>
        </w:r>
      </w:hyperlink>
    </w:p>
    <w:p w:rsidR="00DB25E9" w:rsidRPr="00DB25E9" w:rsidRDefault="00DB25E9" w:rsidP="00DB25E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    </w:t>
      </w:r>
    </w:p>
    <w:p w:rsidR="00DB25E9" w:rsidRPr="00DB25E9" w:rsidRDefault="00DB25E9" w:rsidP="00DB25E9">
      <w:pPr>
        <w:shd w:val="clear" w:color="auto" w:fill="FFFFFF"/>
        <w:spacing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hyperlink r:id="rId12" w:tgtFrame="_blank" w:history="1">
        <w:r w:rsidRPr="00DB25E9">
          <w:rPr>
            <w:rFonts w:ascii="Arial" w:eastAsia="Times New Roman" w:hAnsi="Arial" w:cs="Arial"/>
            <w:color w:val="337AB7"/>
            <w:sz w:val="21"/>
            <w:szCs w:val="21"/>
            <w:lang w:eastAsia="tr-TR"/>
          </w:rPr>
          <w:t> </w:t>
        </w:r>
      </w:hyperlink>
      <w:hyperlink r:id="rId13" w:history="1">
        <w:r w:rsidRPr="00DB25E9">
          <w:rPr>
            <w:rFonts w:ascii="Arial" w:eastAsia="Times New Roman" w:hAnsi="Arial" w:cs="Arial"/>
            <w:color w:val="337AB7"/>
            <w:sz w:val="21"/>
            <w:szCs w:val="21"/>
            <w:lang w:eastAsia="tr-TR"/>
          </w:rPr>
          <w:t>     Psikolojik Destek İçin Gönderme Öncesi Bilgi Formu </w:t>
        </w:r>
      </w:hyperlink>
      <w:hyperlink r:id="rId14" w:history="1">
        <w:r w:rsidRPr="00DB25E9">
          <w:rPr>
            <w:rFonts w:ascii="Arial" w:eastAsia="Times New Roman" w:hAnsi="Arial" w:cs="Arial"/>
            <w:color w:val="337AB7"/>
            <w:sz w:val="21"/>
            <w:szCs w:val="21"/>
            <w:lang w:eastAsia="tr-TR"/>
          </w:rPr>
          <w:t> </w:t>
        </w:r>
      </w:hyperlink>
      <w:r w:rsidRPr="00DB25E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 </w:t>
      </w:r>
    </w:p>
    <w:p w:rsidR="00F205BA" w:rsidRDefault="00F205BA"/>
    <w:sectPr w:rsidR="00F20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C10"/>
    <w:multiLevelType w:val="multilevel"/>
    <w:tmpl w:val="ECAE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51630"/>
    <w:multiLevelType w:val="multilevel"/>
    <w:tmpl w:val="B738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F1EE6"/>
    <w:multiLevelType w:val="multilevel"/>
    <w:tmpl w:val="03E4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C42D6F"/>
    <w:multiLevelType w:val="multilevel"/>
    <w:tmpl w:val="562C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E1832"/>
    <w:multiLevelType w:val="multilevel"/>
    <w:tmpl w:val="BF0C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00C05"/>
    <w:multiLevelType w:val="multilevel"/>
    <w:tmpl w:val="9632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A211DF"/>
    <w:multiLevelType w:val="multilevel"/>
    <w:tmpl w:val="785C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0E14D3"/>
    <w:multiLevelType w:val="multilevel"/>
    <w:tmpl w:val="36E2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C1B89"/>
    <w:multiLevelType w:val="multilevel"/>
    <w:tmpl w:val="3356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897006"/>
    <w:multiLevelType w:val="multilevel"/>
    <w:tmpl w:val="A75C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A82C86"/>
    <w:multiLevelType w:val="multilevel"/>
    <w:tmpl w:val="9A9A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8B2DB3"/>
    <w:multiLevelType w:val="multilevel"/>
    <w:tmpl w:val="B752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C30822"/>
    <w:multiLevelType w:val="multilevel"/>
    <w:tmpl w:val="61B4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D57A28"/>
    <w:multiLevelType w:val="multilevel"/>
    <w:tmpl w:val="59EC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2B5442"/>
    <w:multiLevelType w:val="multilevel"/>
    <w:tmpl w:val="80B6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56D1B"/>
    <w:multiLevelType w:val="multilevel"/>
    <w:tmpl w:val="0D56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5F28D5"/>
    <w:multiLevelType w:val="multilevel"/>
    <w:tmpl w:val="6392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D81E37"/>
    <w:multiLevelType w:val="multilevel"/>
    <w:tmpl w:val="B9C6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2"/>
  </w:num>
  <w:num w:numId="11">
    <w:abstractNumId w:val="12"/>
  </w:num>
  <w:num w:numId="12">
    <w:abstractNumId w:val="14"/>
  </w:num>
  <w:num w:numId="13">
    <w:abstractNumId w:val="7"/>
  </w:num>
  <w:num w:numId="14">
    <w:abstractNumId w:val="0"/>
  </w:num>
  <w:num w:numId="15">
    <w:abstractNumId w:val="4"/>
  </w:num>
  <w:num w:numId="16">
    <w:abstractNumId w:val="17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E9"/>
    <w:rsid w:val="00DB25E9"/>
    <w:rsid w:val="00F2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2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2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0087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0385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githaneram.meb.k12.tr/meb_iys_dosyalar/34/13/861906/dosyalar/2013_02/19103450_okuloncesi_egt_deg_formu.pdf" TargetMode="External"/><Relationship Id="rId13" Type="http://schemas.openxmlformats.org/officeDocument/2006/relationships/hyperlink" Target="http://kagithaneram.meb.k12.tr/meb_iys_dosyalar/34/13/861906/dosyalar/2013_02/19103846_psikolojik_destek.do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gallaxdesign.com/web/yildirim/depo/psikolojik_destek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agithaneram.meb.k12.tr/www/images/mansetresim.png" TargetMode="External"/><Relationship Id="rId11" Type="http://schemas.openxmlformats.org/officeDocument/2006/relationships/hyperlink" Target="http://kagithaneram.meb.k12.tr/meb_iys_dosyalar/34/13/861906/dosyalar/2013_02/19103255_bireysel_gelisim_raporu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agithaneram.meb.k12.tr/meb_iys_dosyalar/34/13/861906/dosyalar/2013_02/19103725_ortaogretim_egt_deg_form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githaneram.meb.k12.tr/meb_iys_dosyalar/34/13/861906/dosyalar/2013_02/19103403_%C4%B1lkogretim_egt_deg_formu.pdf" TargetMode="External"/><Relationship Id="rId14" Type="http://schemas.openxmlformats.org/officeDocument/2006/relationships/hyperlink" Target="http://kagithaneram.meb.k12.tr/meb_iys_dosyalar/34/13/861906/dosyalar/2013_02/19103846_psikolojik_destek.do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</dc:creator>
  <cp:lastModifiedBy>emrah</cp:lastModifiedBy>
  <cp:revision>1</cp:revision>
  <dcterms:created xsi:type="dcterms:W3CDTF">2016-03-03T09:39:00Z</dcterms:created>
  <dcterms:modified xsi:type="dcterms:W3CDTF">2016-03-03T09:40:00Z</dcterms:modified>
</cp:coreProperties>
</file>